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94" w:type="dxa"/>
        <w:tblInd w:w="-977" w:type="dxa"/>
        <w:tblBorders>
          <w:bottom w:val="thickThinLargeGap" w:sz="4" w:space="0" w:color="auto"/>
        </w:tblBorders>
        <w:tblLayout w:type="fixed"/>
        <w:tblLook w:val="01E0" w:firstRow="1" w:lastRow="1" w:firstColumn="1" w:lastColumn="1" w:noHBand="0" w:noVBand="0"/>
      </w:tblPr>
      <w:tblGrid>
        <w:gridCol w:w="2503"/>
        <w:gridCol w:w="5580"/>
        <w:gridCol w:w="2611"/>
      </w:tblGrid>
      <w:tr w:rsidR="004E51DA" w:rsidTr="00281DA3">
        <w:trPr>
          <w:trHeight w:val="1000"/>
        </w:trPr>
        <w:tc>
          <w:tcPr>
            <w:tcW w:w="2503" w:type="dxa"/>
            <w:tcBorders>
              <w:bottom w:val="thickThinLargeGap" w:sz="4" w:space="0" w:color="auto"/>
            </w:tcBorders>
            <w:vAlign w:val="center"/>
          </w:tcPr>
          <w:p w:rsidR="004E51DA" w:rsidRDefault="004E51DA" w:rsidP="00281DA3">
            <w:pPr>
              <w:tabs>
                <w:tab w:val="center" w:pos="4419"/>
                <w:tab w:val="right" w:pos="8838"/>
                <w:tab w:val="right" w:pos="9360"/>
              </w:tabs>
              <w:ind w:left="277"/>
              <w:rPr>
                <w:rFonts w:ascii="Tahoma" w:eastAsia="Times New Roman" w:hAnsi="Tahoma" w:cs="Tahoma"/>
                <w:smallCaps/>
                <w:sz w:val="24"/>
                <w:szCs w:val="24"/>
                <w:lang w:eastAsia="pt-BR"/>
              </w:rPr>
            </w:pPr>
          </w:p>
        </w:tc>
        <w:tc>
          <w:tcPr>
            <w:tcW w:w="5580" w:type="dxa"/>
            <w:tcBorders>
              <w:bottom w:val="thickThinLargeGap" w:sz="4" w:space="0" w:color="auto"/>
            </w:tcBorders>
            <w:vAlign w:val="center"/>
          </w:tcPr>
          <w:p w:rsidR="004E51DA" w:rsidRDefault="004E51DA" w:rsidP="00281DA3">
            <w:pPr>
              <w:jc w:val="center"/>
              <w:rPr>
                <w:rFonts w:ascii="Tahoma" w:eastAsia="Times New Roman" w:hAnsi="Tahoma" w:cs="Tahoma"/>
              </w:rPr>
            </w:pPr>
            <w:r>
              <w:rPr>
                <w:rFonts w:ascii="Tahoma" w:eastAsia="Times New Roman" w:hAnsi="Tahoma" w:cs="Tahoma"/>
                <w:b/>
                <w:noProof/>
                <w:lang w:eastAsia="pt-BR"/>
              </w:rPr>
              <w:drawing>
                <wp:inline distT="0" distB="0" distL="0" distR="0" wp14:anchorId="1E9926BA" wp14:editId="746F8037">
                  <wp:extent cx="666750" cy="573698"/>
                  <wp:effectExtent l="0" t="0" r="0" b="0"/>
                  <wp:docPr id="1" name="Imagem 1" descr="Brasao Ba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 Barra"/>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668937" cy="575580"/>
                          </a:xfrm>
                          <a:prstGeom prst="rect">
                            <a:avLst/>
                          </a:prstGeom>
                          <a:noFill/>
                          <a:ln>
                            <a:noFill/>
                          </a:ln>
                        </pic:spPr>
                      </pic:pic>
                    </a:graphicData>
                  </a:graphic>
                </wp:inline>
              </w:drawing>
            </w:r>
          </w:p>
          <w:p w:rsidR="004E51DA" w:rsidRDefault="004E51DA" w:rsidP="00281DA3">
            <w:pPr>
              <w:jc w:val="center"/>
              <w:rPr>
                <w:rFonts w:ascii="Tahoma" w:eastAsia="Times New Roman" w:hAnsi="Tahoma" w:cs="Tahoma"/>
                <w:b/>
                <w:bCs/>
                <w:smallCaps/>
                <w:color w:val="000000"/>
                <w:spacing w:val="5"/>
              </w:rPr>
            </w:pPr>
            <w:r>
              <w:rPr>
                <w:rFonts w:ascii="Tahoma" w:eastAsia="Times New Roman" w:hAnsi="Tahoma" w:cs="Tahoma"/>
                <w:b/>
                <w:bCs/>
                <w:smallCaps/>
                <w:color w:val="000000"/>
                <w:spacing w:val="5"/>
              </w:rPr>
              <w:t xml:space="preserve">Estado de </w:t>
            </w:r>
            <w:bookmarkStart w:id="0" w:name="_GoBack"/>
            <w:bookmarkEnd w:id="0"/>
            <w:r>
              <w:rPr>
                <w:rFonts w:ascii="Tahoma" w:eastAsia="Times New Roman" w:hAnsi="Tahoma" w:cs="Tahoma"/>
                <w:b/>
                <w:bCs/>
                <w:smallCaps/>
                <w:color w:val="000000"/>
                <w:spacing w:val="5"/>
              </w:rPr>
              <w:t>mato grosso</w:t>
            </w:r>
          </w:p>
          <w:p w:rsidR="004E51DA" w:rsidRDefault="004E51DA" w:rsidP="00281DA3">
            <w:pPr>
              <w:ind w:left="-533" w:firstLine="643"/>
              <w:jc w:val="center"/>
              <w:rPr>
                <w:rFonts w:ascii="Tahoma" w:eastAsia="Times New Roman" w:hAnsi="Tahoma" w:cs="Tahoma"/>
                <w:b/>
                <w:bCs/>
                <w:smallCaps/>
                <w:color w:val="000000"/>
                <w:spacing w:val="5"/>
              </w:rPr>
            </w:pPr>
            <w:r>
              <w:rPr>
                <w:rFonts w:ascii="Tahoma" w:eastAsia="Times New Roman" w:hAnsi="Tahoma" w:cs="Tahoma"/>
                <w:b/>
                <w:bCs/>
                <w:smallCaps/>
                <w:color w:val="000000"/>
                <w:spacing w:val="5"/>
              </w:rPr>
              <w:t>Prefeitura Municipal de Barra do Garças</w:t>
            </w:r>
          </w:p>
        </w:tc>
        <w:tc>
          <w:tcPr>
            <w:tcW w:w="2611" w:type="dxa"/>
            <w:tcBorders>
              <w:bottom w:val="thickThinLargeGap" w:sz="4" w:space="0" w:color="auto"/>
            </w:tcBorders>
            <w:vAlign w:val="center"/>
          </w:tcPr>
          <w:p w:rsidR="004E51DA" w:rsidRDefault="004E51DA" w:rsidP="00281DA3">
            <w:pPr>
              <w:tabs>
                <w:tab w:val="center" w:pos="4419"/>
                <w:tab w:val="right" w:pos="8838"/>
                <w:tab w:val="right" w:pos="9360"/>
              </w:tabs>
              <w:jc w:val="right"/>
              <w:rPr>
                <w:rFonts w:ascii="Tahoma" w:eastAsia="Times New Roman" w:hAnsi="Tahoma" w:cs="Tahoma"/>
                <w:b/>
                <w:smallCaps/>
                <w:noProof/>
                <w:lang w:eastAsia="pt-BR"/>
              </w:rPr>
            </w:pPr>
            <w:r>
              <w:rPr>
                <w:rFonts w:ascii="Tahoma" w:eastAsia="Times New Roman" w:hAnsi="Tahoma" w:cs="Tahoma"/>
                <w:b/>
                <w:smallCaps/>
                <w:noProof/>
                <w:lang w:eastAsia="pt-BR"/>
              </w:rPr>
              <w:t xml:space="preserve">                 </w:t>
            </w:r>
          </w:p>
          <w:p w:rsidR="004E51DA" w:rsidRDefault="004E51DA" w:rsidP="00281DA3">
            <w:pPr>
              <w:tabs>
                <w:tab w:val="center" w:pos="4419"/>
                <w:tab w:val="right" w:pos="8838"/>
                <w:tab w:val="right" w:pos="9360"/>
              </w:tabs>
              <w:jc w:val="right"/>
              <w:rPr>
                <w:rFonts w:ascii="Tahoma" w:eastAsia="Times New Roman" w:hAnsi="Tahoma" w:cs="Tahoma"/>
                <w:smallCaps/>
                <w:noProof/>
                <w:sz w:val="24"/>
                <w:szCs w:val="24"/>
                <w:lang w:eastAsia="pt-BR"/>
              </w:rPr>
            </w:pPr>
          </w:p>
        </w:tc>
      </w:tr>
    </w:tbl>
    <w:p w:rsidR="004E51DA" w:rsidRDefault="004E51DA" w:rsidP="004E51DA">
      <w:pPr>
        <w:pStyle w:val="Cabealho"/>
        <w:rPr>
          <w:rFonts w:ascii="Tahoma" w:hAnsi="Tahoma" w:cs="Tahoma"/>
        </w:rPr>
      </w:pPr>
    </w:p>
    <w:p w:rsidR="004E51DA" w:rsidRDefault="004E51DA" w:rsidP="004E51DA">
      <w:pPr>
        <w:pStyle w:val="western"/>
        <w:spacing w:before="0" w:beforeAutospacing="0" w:after="0"/>
        <w:jc w:val="center"/>
        <w:rPr>
          <w:rFonts w:ascii="Tahoma" w:hAnsi="Tahoma" w:cs="Tahoma"/>
          <w:b/>
          <w:sz w:val="22"/>
          <w:szCs w:val="22"/>
        </w:rPr>
      </w:pPr>
    </w:p>
    <w:p w:rsidR="004E51DA" w:rsidRDefault="004E51DA" w:rsidP="004E51DA">
      <w:pPr>
        <w:pStyle w:val="western"/>
        <w:spacing w:before="0" w:beforeAutospacing="0" w:after="0"/>
        <w:jc w:val="center"/>
        <w:rPr>
          <w:rFonts w:ascii="Tahoma" w:hAnsi="Tahoma" w:cs="Tahoma"/>
          <w:b/>
          <w:sz w:val="22"/>
          <w:szCs w:val="22"/>
        </w:rPr>
      </w:pPr>
    </w:p>
    <w:p w:rsidR="004E51DA" w:rsidRDefault="004E51DA" w:rsidP="004E51DA">
      <w:pPr>
        <w:pStyle w:val="western"/>
        <w:spacing w:before="0" w:beforeAutospacing="0" w:after="0"/>
        <w:jc w:val="center"/>
        <w:rPr>
          <w:rFonts w:ascii="Tahoma" w:hAnsi="Tahoma" w:cs="Tahoma"/>
          <w:b/>
          <w:sz w:val="22"/>
          <w:szCs w:val="22"/>
        </w:rPr>
      </w:pPr>
    </w:p>
    <w:p w:rsidR="004E51DA" w:rsidRPr="004E51DA" w:rsidRDefault="004E51DA" w:rsidP="004E51DA">
      <w:pPr>
        <w:pStyle w:val="western"/>
        <w:spacing w:before="0" w:beforeAutospacing="0" w:after="0"/>
        <w:jc w:val="center"/>
        <w:rPr>
          <w:rFonts w:ascii="Tahoma" w:hAnsi="Tahoma" w:cs="Tahoma"/>
          <w:b/>
          <w:sz w:val="22"/>
          <w:szCs w:val="22"/>
        </w:rPr>
      </w:pPr>
      <w:r w:rsidRPr="004E51DA">
        <w:rPr>
          <w:rFonts w:ascii="Tahoma" w:hAnsi="Tahoma" w:cs="Tahoma"/>
          <w:b/>
          <w:sz w:val="22"/>
          <w:szCs w:val="22"/>
        </w:rPr>
        <w:t>AVISO DE RESULTADO DA ANÁLISE DOS DOCUMENTOS DE HABILITAÇÃO</w:t>
      </w:r>
    </w:p>
    <w:p w:rsidR="004E51DA" w:rsidRDefault="004E51DA" w:rsidP="004E51DA">
      <w:pPr>
        <w:pStyle w:val="western"/>
        <w:spacing w:before="0" w:beforeAutospacing="0" w:after="0"/>
        <w:jc w:val="center"/>
        <w:rPr>
          <w:rFonts w:ascii="Tahoma" w:hAnsi="Tahoma" w:cs="Tahoma"/>
          <w:b/>
          <w:sz w:val="22"/>
          <w:szCs w:val="22"/>
        </w:rPr>
      </w:pPr>
      <w:r w:rsidRPr="004E51DA">
        <w:rPr>
          <w:rFonts w:ascii="Tahoma" w:hAnsi="Tahoma" w:cs="Tahoma"/>
          <w:b/>
          <w:sz w:val="22"/>
          <w:szCs w:val="22"/>
        </w:rPr>
        <w:t>TOMADA DE PREÇOS Nº 007/2022/PMBG-MT</w:t>
      </w:r>
    </w:p>
    <w:p w:rsidR="004E51DA" w:rsidRPr="004E51DA" w:rsidRDefault="004E51DA" w:rsidP="004E51DA">
      <w:pPr>
        <w:pStyle w:val="western"/>
        <w:spacing w:before="0" w:beforeAutospacing="0" w:after="0"/>
        <w:jc w:val="center"/>
        <w:rPr>
          <w:rFonts w:ascii="Tahoma" w:hAnsi="Tahoma" w:cs="Tahoma"/>
          <w:b/>
          <w:sz w:val="22"/>
          <w:szCs w:val="22"/>
        </w:rPr>
      </w:pPr>
    </w:p>
    <w:p w:rsidR="004E51DA" w:rsidRPr="004E51DA" w:rsidRDefault="004E51DA" w:rsidP="004E51DA">
      <w:pPr>
        <w:pStyle w:val="western"/>
        <w:spacing w:after="0"/>
        <w:jc w:val="both"/>
        <w:rPr>
          <w:rFonts w:ascii="Tahoma" w:hAnsi="Tahoma" w:cs="Tahoma"/>
          <w:sz w:val="22"/>
          <w:szCs w:val="22"/>
        </w:rPr>
      </w:pPr>
      <w:r w:rsidRPr="004E51DA">
        <w:rPr>
          <w:rFonts w:ascii="Tahoma" w:hAnsi="Tahoma" w:cs="Tahoma"/>
          <w:b/>
          <w:bCs/>
          <w:sz w:val="22"/>
          <w:szCs w:val="22"/>
        </w:rPr>
        <w:t>OBJETO:</w:t>
      </w:r>
      <w:r w:rsidRPr="004E51DA">
        <w:rPr>
          <w:rFonts w:ascii="Tahoma" w:hAnsi="Tahoma" w:cs="Tahoma"/>
          <w:sz w:val="22"/>
          <w:szCs w:val="22"/>
        </w:rPr>
        <w:t xml:space="preserve"> </w:t>
      </w:r>
      <w:r w:rsidRPr="004E51DA">
        <w:rPr>
          <w:rFonts w:ascii="Tahoma" w:hAnsi="Tahoma" w:cs="Tahoma"/>
          <w:b/>
          <w:bCs/>
          <w:sz w:val="22"/>
          <w:szCs w:val="22"/>
        </w:rPr>
        <w:t xml:space="preserve">Contratação de empresa especializada para a Revitalização da Arena do Porto do </w:t>
      </w:r>
      <w:proofErr w:type="spellStart"/>
      <w:r w:rsidRPr="004E51DA">
        <w:rPr>
          <w:rFonts w:ascii="Tahoma" w:hAnsi="Tahoma" w:cs="Tahoma"/>
          <w:b/>
          <w:bCs/>
          <w:sz w:val="22"/>
          <w:szCs w:val="22"/>
        </w:rPr>
        <w:t>Baé</w:t>
      </w:r>
      <w:proofErr w:type="spellEnd"/>
      <w:r w:rsidRPr="004E51DA">
        <w:rPr>
          <w:rFonts w:ascii="Tahoma" w:hAnsi="Tahoma" w:cs="Tahoma"/>
          <w:b/>
          <w:bCs/>
          <w:sz w:val="22"/>
          <w:szCs w:val="22"/>
        </w:rPr>
        <w:t>, Bairro Cidade Velha</w:t>
      </w:r>
      <w:r w:rsidRPr="004E51DA">
        <w:rPr>
          <w:rFonts w:ascii="Tahoma" w:hAnsi="Tahoma" w:cs="Tahoma"/>
          <w:sz w:val="22"/>
          <w:szCs w:val="22"/>
        </w:rPr>
        <w:t>, conforme anexos do Edital e Planilhas de Engenharia.</w:t>
      </w:r>
    </w:p>
    <w:p w:rsidR="004E51DA" w:rsidRPr="004E51DA" w:rsidRDefault="004E51DA" w:rsidP="004E51DA">
      <w:pPr>
        <w:pStyle w:val="western"/>
        <w:spacing w:after="0"/>
        <w:jc w:val="both"/>
        <w:rPr>
          <w:rFonts w:ascii="Tahoma" w:hAnsi="Tahoma" w:cs="Tahoma"/>
          <w:sz w:val="22"/>
          <w:szCs w:val="22"/>
        </w:rPr>
      </w:pPr>
      <w:r w:rsidRPr="004E51DA">
        <w:rPr>
          <w:rFonts w:ascii="Tahoma" w:hAnsi="Tahoma" w:cs="Tahoma"/>
          <w:sz w:val="22"/>
          <w:szCs w:val="22"/>
        </w:rPr>
        <w:t>A Comissão Permanente de Licitação da Prefeitura Municipal de Barra do Garças, Estado de Mato Grosso, torna público o RESULTADO DO JULGAMENTO DA ANÁLISE DOS DOCUMENTOS DE HABILITAÇÃO, das empresas abaixo relacionadas sendo que os DOCUMENTOS DE CAPACIDADE TÉCNICA, foram analisados pelo arquiteto urbanista Abel Vinicius Machado Caetano da Silva CAU-A 160561-5:</w:t>
      </w:r>
    </w:p>
    <w:p w:rsidR="004E51DA" w:rsidRPr="004E51DA" w:rsidRDefault="004E51DA" w:rsidP="004E51DA">
      <w:pPr>
        <w:pStyle w:val="western"/>
        <w:spacing w:after="0"/>
        <w:jc w:val="both"/>
        <w:rPr>
          <w:rFonts w:ascii="Tahoma" w:hAnsi="Tahoma" w:cs="Tahoma"/>
          <w:sz w:val="22"/>
          <w:szCs w:val="22"/>
        </w:rPr>
      </w:pPr>
      <w:r w:rsidRPr="004E51DA">
        <w:rPr>
          <w:rFonts w:ascii="Tahoma" w:hAnsi="Tahoma" w:cs="Tahoma"/>
          <w:sz w:val="22"/>
          <w:szCs w:val="22"/>
        </w:rPr>
        <w:t>EMPRESAS HABILITADAS:</w:t>
      </w:r>
    </w:p>
    <w:p w:rsidR="004E51DA" w:rsidRPr="004E51DA" w:rsidRDefault="004E51DA" w:rsidP="004E51DA">
      <w:pPr>
        <w:pStyle w:val="western"/>
        <w:spacing w:before="0" w:beforeAutospacing="0" w:after="0"/>
        <w:jc w:val="both"/>
        <w:rPr>
          <w:rFonts w:ascii="Tahoma" w:hAnsi="Tahoma" w:cs="Tahoma"/>
          <w:sz w:val="22"/>
          <w:szCs w:val="22"/>
        </w:rPr>
      </w:pPr>
      <w:r w:rsidRPr="004E51DA">
        <w:rPr>
          <w:rFonts w:ascii="Tahoma" w:hAnsi="Tahoma" w:cs="Tahoma"/>
          <w:sz w:val="22"/>
          <w:szCs w:val="22"/>
        </w:rPr>
        <w:t xml:space="preserve">1 </w:t>
      </w:r>
      <w:r w:rsidRPr="004E51DA">
        <w:rPr>
          <w:rFonts w:ascii="Tahoma" w:hAnsi="Tahoma" w:cs="Tahoma"/>
          <w:b/>
          <w:bCs/>
          <w:sz w:val="22"/>
          <w:szCs w:val="22"/>
        </w:rPr>
        <w:t>- APOLOSAT ENGENHARIA LTDA</w:t>
      </w:r>
      <w:r w:rsidRPr="004E51DA">
        <w:rPr>
          <w:rFonts w:ascii="Tahoma" w:hAnsi="Tahoma" w:cs="Tahoma"/>
          <w:sz w:val="22"/>
          <w:szCs w:val="22"/>
        </w:rPr>
        <w:t>, CNPJ: 10.986.894/0001-94;</w:t>
      </w:r>
    </w:p>
    <w:p w:rsidR="004E51DA" w:rsidRPr="004E51DA" w:rsidRDefault="004E51DA" w:rsidP="004E51DA">
      <w:pPr>
        <w:pStyle w:val="western"/>
        <w:spacing w:before="0" w:beforeAutospacing="0" w:after="0"/>
        <w:jc w:val="both"/>
        <w:rPr>
          <w:rFonts w:ascii="Tahoma" w:hAnsi="Tahoma" w:cs="Tahoma"/>
          <w:sz w:val="22"/>
          <w:szCs w:val="22"/>
        </w:rPr>
      </w:pPr>
      <w:r w:rsidRPr="004E51DA">
        <w:rPr>
          <w:rFonts w:ascii="Tahoma" w:hAnsi="Tahoma" w:cs="Tahoma"/>
          <w:sz w:val="22"/>
          <w:szCs w:val="22"/>
        </w:rPr>
        <w:t xml:space="preserve">2 - </w:t>
      </w:r>
      <w:r w:rsidRPr="004E51DA">
        <w:rPr>
          <w:rFonts w:ascii="Tahoma" w:hAnsi="Tahoma" w:cs="Tahoma"/>
          <w:b/>
          <w:bCs/>
          <w:sz w:val="22"/>
          <w:szCs w:val="22"/>
        </w:rPr>
        <w:t>ALIANÇA INDUSTRIA E CONSTRUÇÕES – LTDA</w:t>
      </w:r>
      <w:r w:rsidRPr="004E51DA">
        <w:rPr>
          <w:rFonts w:ascii="Tahoma" w:hAnsi="Tahoma" w:cs="Tahoma"/>
          <w:sz w:val="22"/>
          <w:szCs w:val="22"/>
        </w:rPr>
        <w:t>, CNPJ: 07.522.407/0002-09;</w:t>
      </w:r>
    </w:p>
    <w:p w:rsidR="004E51DA" w:rsidRPr="004E51DA" w:rsidRDefault="004E51DA" w:rsidP="004E51DA">
      <w:pPr>
        <w:pStyle w:val="western"/>
        <w:spacing w:before="0" w:beforeAutospacing="0" w:after="0"/>
        <w:jc w:val="both"/>
        <w:rPr>
          <w:rFonts w:ascii="Tahoma" w:hAnsi="Tahoma" w:cs="Tahoma"/>
          <w:sz w:val="22"/>
          <w:szCs w:val="22"/>
        </w:rPr>
      </w:pPr>
      <w:r w:rsidRPr="004E51DA">
        <w:rPr>
          <w:rFonts w:ascii="Tahoma" w:hAnsi="Tahoma" w:cs="Tahoma"/>
          <w:sz w:val="22"/>
          <w:szCs w:val="22"/>
        </w:rPr>
        <w:t xml:space="preserve">3 – </w:t>
      </w:r>
      <w:r w:rsidRPr="004E51DA">
        <w:rPr>
          <w:rFonts w:ascii="Tahoma" w:hAnsi="Tahoma" w:cs="Tahoma"/>
          <w:b/>
          <w:bCs/>
          <w:sz w:val="22"/>
          <w:szCs w:val="22"/>
        </w:rPr>
        <w:t>A F DOS SANTOS CONSTRUTORA -EPP</w:t>
      </w:r>
      <w:r w:rsidRPr="004E51DA">
        <w:rPr>
          <w:rFonts w:ascii="Tahoma" w:hAnsi="Tahoma" w:cs="Tahoma"/>
          <w:sz w:val="22"/>
          <w:szCs w:val="22"/>
        </w:rPr>
        <w:t xml:space="preserve">, CNPJ: 11.060.248/0001-64; </w:t>
      </w:r>
    </w:p>
    <w:p w:rsidR="004E51DA" w:rsidRPr="004E51DA" w:rsidRDefault="004E51DA" w:rsidP="004E51DA">
      <w:pPr>
        <w:pStyle w:val="western"/>
        <w:spacing w:before="0" w:beforeAutospacing="0" w:after="0"/>
        <w:jc w:val="both"/>
        <w:rPr>
          <w:rFonts w:ascii="Tahoma" w:hAnsi="Tahoma" w:cs="Tahoma"/>
          <w:sz w:val="22"/>
          <w:szCs w:val="22"/>
        </w:rPr>
      </w:pPr>
      <w:r w:rsidRPr="004E51DA">
        <w:rPr>
          <w:rFonts w:ascii="Tahoma" w:hAnsi="Tahoma" w:cs="Tahoma"/>
          <w:sz w:val="22"/>
          <w:szCs w:val="22"/>
        </w:rPr>
        <w:t xml:space="preserve">4– </w:t>
      </w:r>
      <w:r w:rsidRPr="004E51DA">
        <w:rPr>
          <w:rFonts w:ascii="Tahoma" w:hAnsi="Tahoma" w:cs="Tahoma"/>
          <w:b/>
          <w:bCs/>
          <w:sz w:val="22"/>
          <w:szCs w:val="22"/>
        </w:rPr>
        <w:t>MAF CONSTRUTORA-EIRELI</w:t>
      </w:r>
      <w:r w:rsidRPr="004E51DA">
        <w:rPr>
          <w:rFonts w:ascii="Tahoma" w:hAnsi="Tahoma" w:cs="Tahoma"/>
          <w:sz w:val="22"/>
          <w:szCs w:val="22"/>
        </w:rPr>
        <w:t>, CNPJ: 20.938.378/0001-48</w:t>
      </w:r>
    </w:p>
    <w:p w:rsidR="004E51DA" w:rsidRDefault="004E51DA" w:rsidP="004E51DA">
      <w:pPr>
        <w:pStyle w:val="western"/>
        <w:spacing w:before="0" w:beforeAutospacing="0" w:after="0"/>
        <w:jc w:val="both"/>
        <w:rPr>
          <w:rFonts w:ascii="Tahoma" w:hAnsi="Tahoma" w:cs="Tahoma"/>
          <w:sz w:val="22"/>
          <w:szCs w:val="22"/>
        </w:rPr>
      </w:pPr>
    </w:p>
    <w:p w:rsidR="004E51DA" w:rsidRPr="004E51DA" w:rsidRDefault="004E51DA" w:rsidP="004E51DA">
      <w:pPr>
        <w:pStyle w:val="western"/>
        <w:spacing w:before="0" w:beforeAutospacing="0" w:after="0"/>
        <w:jc w:val="both"/>
        <w:rPr>
          <w:rFonts w:ascii="Tahoma" w:hAnsi="Tahoma" w:cs="Tahoma"/>
          <w:sz w:val="22"/>
          <w:szCs w:val="22"/>
        </w:rPr>
      </w:pPr>
      <w:r w:rsidRPr="004E51DA">
        <w:rPr>
          <w:rFonts w:ascii="Tahoma" w:hAnsi="Tahoma" w:cs="Tahoma"/>
          <w:sz w:val="22"/>
          <w:szCs w:val="22"/>
        </w:rPr>
        <w:t>EMPRESAS INABILITADAS:</w:t>
      </w:r>
    </w:p>
    <w:p w:rsidR="004E51DA" w:rsidRPr="004E51DA" w:rsidRDefault="004E51DA" w:rsidP="004E51DA">
      <w:pPr>
        <w:pStyle w:val="western"/>
        <w:spacing w:before="0" w:beforeAutospacing="0" w:after="0"/>
        <w:jc w:val="both"/>
        <w:rPr>
          <w:rFonts w:ascii="Tahoma" w:hAnsi="Tahoma" w:cs="Tahoma"/>
          <w:sz w:val="22"/>
          <w:szCs w:val="22"/>
        </w:rPr>
      </w:pPr>
      <w:r w:rsidRPr="004E51DA">
        <w:rPr>
          <w:rFonts w:ascii="Tahoma" w:hAnsi="Tahoma" w:cs="Tahoma"/>
          <w:sz w:val="22"/>
          <w:szCs w:val="22"/>
        </w:rPr>
        <w:t xml:space="preserve">1- </w:t>
      </w:r>
      <w:r w:rsidRPr="004E51DA">
        <w:rPr>
          <w:rFonts w:ascii="Tahoma" w:hAnsi="Tahoma" w:cs="Tahoma"/>
          <w:b/>
          <w:bCs/>
          <w:sz w:val="22"/>
          <w:szCs w:val="22"/>
        </w:rPr>
        <w:t>OLIVEIRA MENDES ENGENHARIA SERVIÇOS E COMÉRCIO-LTDA</w:t>
      </w:r>
      <w:r w:rsidRPr="004E51DA">
        <w:rPr>
          <w:rFonts w:ascii="Tahoma" w:hAnsi="Tahoma" w:cs="Tahoma"/>
          <w:sz w:val="22"/>
          <w:szCs w:val="22"/>
        </w:rPr>
        <w:t>, CNPJ: 39.358.661/0001-29</w:t>
      </w:r>
    </w:p>
    <w:p w:rsidR="004E51DA" w:rsidRPr="004E51DA" w:rsidRDefault="004E51DA" w:rsidP="004E51DA">
      <w:pPr>
        <w:pStyle w:val="western"/>
        <w:spacing w:after="0"/>
        <w:jc w:val="both"/>
        <w:rPr>
          <w:rFonts w:ascii="Tahoma" w:hAnsi="Tahoma" w:cs="Tahoma"/>
          <w:sz w:val="22"/>
          <w:szCs w:val="22"/>
        </w:rPr>
      </w:pPr>
      <w:r w:rsidRPr="004E51DA">
        <w:rPr>
          <w:rFonts w:ascii="Tahoma" w:hAnsi="Tahoma" w:cs="Tahoma"/>
          <w:sz w:val="22"/>
          <w:szCs w:val="22"/>
        </w:rPr>
        <w:t>Abre-se o prazo recursal conforme art. 109 da Lei Federal nº. 8.666/93.</w:t>
      </w:r>
    </w:p>
    <w:p w:rsidR="004E51DA" w:rsidRPr="004E51DA" w:rsidRDefault="004E51DA" w:rsidP="004E51DA">
      <w:pPr>
        <w:pStyle w:val="western"/>
        <w:spacing w:after="0"/>
        <w:rPr>
          <w:rFonts w:ascii="Tahoma" w:hAnsi="Tahoma" w:cs="Tahoma"/>
          <w:sz w:val="22"/>
          <w:szCs w:val="22"/>
        </w:rPr>
      </w:pPr>
      <w:r w:rsidRPr="004E51DA">
        <w:rPr>
          <w:rFonts w:ascii="Tahoma" w:hAnsi="Tahoma" w:cs="Tahoma"/>
          <w:sz w:val="22"/>
          <w:szCs w:val="22"/>
        </w:rPr>
        <w:t> </w:t>
      </w:r>
    </w:p>
    <w:p w:rsidR="004E51DA" w:rsidRPr="004E51DA" w:rsidRDefault="004E51DA" w:rsidP="004E51DA">
      <w:pPr>
        <w:pStyle w:val="western"/>
        <w:spacing w:after="0"/>
        <w:jc w:val="right"/>
        <w:rPr>
          <w:rFonts w:ascii="Tahoma" w:hAnsi="Tahoma" w:cs="Tahoma"/>
          <w:sz w:val="22"/>
          <w:szCs w:val="22"/>
        </w:rPr>
      </w:pPr>
      <w:r w:rsidRPr="004E51DA">
        <w:rPr>
          <w:rFonts w:ascii="Tahoma" w:hAnsi="Tahoma" w:cs="Tahoma"/>
          <w:sz w:val="22"/>
          <w:szCs w:val="22"/>
        </w:rPr>
        <w:t>Barra do Garças, 11 de maio de 2022.</w:t>
      </w:r>
    </w:p>
    <w:p w:rsidR="004E51DA" w:rsidRPr="004E51DA" w:rsidRDefault="004E51DA" w:rsidP="004E51DA">
      <w:pPr>
        <w:pStyle w:val="western"/>
        <w:spacing w:after="0"/>
        <w:rPr>
          <w:rFonts w:ascii="Tahoma" w:hAnsi="Tahoma" w:cs="Tahoma"/>
          <w:sz w:val="22"/>
          <w:szCs w:val="22"/>
        </w:rPr>
      </w:pPr>
      <w:r w:rsidRPr="004E51DA">
        <w:rPr>
          <w:rFonts w:ascii="Tahoma" w:hAnsi="Tahoma" w:cs="Tahoma"/>
          <w:sz w:val="22"/>
          <w:szCs w:val="22"/>
        </w:rPr>
        <w:t> </w:t>
      </w:r>
    </w:p>
    <w:p w:rsidR="004E51DA" w:rsidRPr="004E51DA" w:rsidRDefault="004E51DA" w:rsidP="004E51DA">
      <w:pPr>
        <w:pStyle w:val="western"/>
        <w:spacing w:before="0" w:beforeAutospacing="0" w:after="0"/>
        <w:jc w:val="center"/>
        <w:rPr>
          <w:rFonts w:ascii="Tahoma" w:hAnsi="Tahoma" w:cs="Tahoma"/>
          <w:sz w:val="22"/>
          <w:szCs w:val="22"/>
        </w:rPr>
      </w:pPr>
      <w:r w:rsidRPr="004E51DA">
        <w:rPr>
          <w:rFonts w:ascii="Tahoma" w:hAnsi="Tahoma" w:cs="Tahoma"/>
          <w:sz w:val="22"/>
          <w:szCs w:val="22"/>
        </w:rPr>
        <w:t>Marcos da Silva</w:t>
      </w:r>
    </w:p>
    <w:p w:rsidR="004E51DA" w:rsidRPr="004E51DA" w:rsidRDefault="004E51DA" w:rsidP="004E51DA">
      <w:pPr>
        <w:pStyle w:val="western"/>
        <w:spacing w:before="0" w:beforeAutospacing="0" w:after="0"/>
        <w:jc w:val="center"/>
        <w:rPr>
          <w:rFonts w:ascii="Tahoma" w:hAnsi="Tahoma" w:cs="Tahoma"/>
          <w:sz w:val="22"/>
          <w:szCs w:val="22"/>
        </w:rPr>
      </w:pPr>
      <w:r w:rsidRPr="004E51DA">
        <w:rPr>
          <w:rFonts w:ascii="Tahoma" w:hAnsi="Tahoma" w:cs="Tahoma"/>
          <w:sz w:val="22"/>
          <w:szCs w:val="22"/>
        </w:rPr>
        <w:t>Presidente da Comissão de Licitação</w:t>
      </w:r>
    </w:p>
    <w:p w:rsidR="004E51DA" w:rsidRPr="004E51DA" w:rsidRDefault="004E51DA" w:rsidP="004E51DA">
      <w:pPr>
        <w:pStyle w:val="western"/>
        <w:spacing w:before="0" w:beforeAutospacing="0" w:after="0"/>
        <w:jc w:val="center"/>
        <w:rPr>
          <w:rFonts w:ascii="Tahoma" w:hAnsi="Tahoma" w:cs="Tahoma"/>
          <w:sz w:val="22"/>
          <w:szCs w:val="22"/>
        </w:rPr>
      </w:pPr>
    </w:p>
    <w:p w:rsidR="00FF48C7" w:rsidRPr="004E51DA" w:rsidRDefault="00FF48C7" w:rsidP="004E51DA">
      <w:pPr>
        <w:jc w:val="center"/>
        <w:rPr>
          <w:rFonts w:ascii="Tahoma" w:hAnsi="Tahoma" w:cs="Tahoma"/>
        </w:rPr>
      </w:pPr>
    </w:p>
    <w:sectPr w:rsidR="00FF48C7" w:rsidRPr="004E51DA">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1DA" w:rsidRDefault="004E51DA" w:rsidP="004E51DA">
      <w:pPr>
        <w:spacing w:after="0" w:line="240" w:lineRule="auto"/>
      </w:pPr>
      <w:r>
        <w:separator/>
      </w:r>
    </w:p>
  </w:endnote>
  <w:endnote w:type="continuationSeparator" w:id="0">
    <w:p w:rsidR="004E51DA" w:rsidRDefault="004E51DA" w:rsidP="004E5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1DA" w:rsidRDefault="004E51DA" w:rsidP="004E51DA">
    <w:pPr>
      <w:tabs>
        <w:tab w:val="center" w:pos="4419"/>
        <w:tab w:val="right" w:pos="8838"/>
      </w:tabs>
      <w:overflowPunct w:val="0"/>
      <w:autoSpaceDE w:val="0"/>
      <w:autoSpaceDN w:val="0"/>
      <w:adjustRightInd w:val="0"/>
      <w:ind w:right="360"/>
      <w:jc w:val="center"/>
      <w:textAlignment w:val="baseline"/>
      <w:rPr>
        <w:rFonts w:ascii="Tahoma" w:eastAsia="Times New Roman" w:hAnsi="Tahoma" w:cs="Tahoma"/>
        <w:sz w:val="16"/>
      </w:rPr>
    </w:pPr>
    <w:r>
      <w:rPr>
        <w:rFonts w:ascii="Tahoma" w:eastAsia="Times New Roman" w:hAnsi="Tahoma" w:cs="Tahoma"/>
        <w:sz w:val="16"/>
      </w:rPr>
      <w:t>Rua Carajás, nº. 522 – Centro - Telefone (66) 3402-2000 ramal 2045/2052</w:t>
    </w:r>
  </w:p>
  <w:p w:rsidR="004E51DA" w:rsidRDefault="004E51DA" w:rsidP="004E51DA">
    <w:pPr>
      <w:tabs>
        <w:tab w:val="center" w:pos="4419"/>
        <w:tab w:val="right" w:pos="8838"/>
      </w:tabs>
      <w:overflowPunct w:val="0"/>
      <w:autoSpaceDE w:val="0"/>
      <w:autoSpaceDN w:val="0"/>
      <w:adjustRightInd w:val="0"/>
      <w:jc w:val="center"/>
      <w:textAlignment w:val="baseline"/>
      <w:rPr>
        <w:rFonts w:ascii="Tahoma" w:eastAsia="Times New Roman" w:hAnsi="Tahoma" w:cs="Tahoma"/>
        <w:sz w:val="16"/>
      </w:rPr>
    </w:pPr>
    <w:r>
      <w:rPr>
        <w:rFonts w:ascii="Tahoma" w:eastAsia="Times New Roman" w:hAnsi="Tahoma" w:cs="Tahoma"/>
        <w:sz w:val="16"/>
      </w:rPr>
      <w:t>CEP 78.600-907 - Barra do Garças - MT</w:t>
    </w:r>
  </w:p>
  <w:p w:rsidR="004E51DA" w:rsidRDefault="004E51DA" w:rsidP="004E51DA">
    <w:pPr>
      <w:tabs>
        <w:tab w:val="center" w:pos="4419"/>
        <w:tab w:val="right" w:pos="8838"/>
      </w:tabs>
      <w:overflowPunct w:val="0"/>
      <w:autoSpaceDE w:val="0"/>
      <w:autoSpaceDN w:val="0"/>
      <w:adjustRightInd w:val="0"/>
      <w:jc w:val="center"/>
      <w:textAlignment w:val="baseline"/>
      <w:rPr>
        <w:rFonts w:ascii="Tahoma" w:eastAsia="Times New Roman" w:hAnsi="Tahoma" w:cs="Tahoma"/>
        <w:sz w:val="16"/>
      </w:rPr>
    </w:pPr>
    <w:r>
      <w:rPr>
        <w:rFonts w:ascii="Tahoma" w:eastAsia="Times New Roman" w:hAnsi="Tahoma" w:cs="Tahoma"/>
        <w:sz w:val="16"/>
      </w:rPr>
      <w:t>CNPJ/MF 03.439.239/0001-50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1DA" w:rsidRDefault="004E51DA" w:rsidP="004E51DA">
      <w:pPr>
        <w:spacing w:after="0" w:line="240" w:lineRule="auto"/>
      </w:pPr>
      <w:r>
        <w:separator/>
      </w:r>
    </w:p>
  </w:footnote>
  <w:footnote w:type="continuationSeparator" w:id="0">
    <w:p w:rsidR="004E51DA" w:rsidRDefault="004E51DA" w:rsidP="004E51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1DA"/>
    <w:rsid w:val="004E51DA"/>
    <w:rsid w:val="00FF48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06A60-F600-445A-81C1-45E42333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rsid w:val="004E51DA"/>
    <w:pPr>
      <w:spacing w:before="100" w:beforeAutospacing="1" w:after="119"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E51DA"/>
    <w:pPr>
      <w:tabs>
        <w:tab w:val="center" w:pos="4252"/>
        <w:tab w:val="right" w:pos="8504"/>
      </w:tabs>
      <w:spacing w:after="0" w:line="240" w:lineRule="auto"/>
    </w:pPr>
    <w:rPr>
      <w:rFonts w:ascii="Times New Roman" w:eastAsia="SimSun" w:hAnsi="Times New Roman" w:cs="Times New Roman"/>
      <w:sz w:val="20"/>
      <w:szCs w:val="20"/>
    </w:rPr>
  </w:style>
  <w:style w:type="character" w:customStyle="1" w:styleId="CabealhoChar">
    <w:name w:val="Cabeçalho Char"/>
    <w:basedOn w:val="Fontepargpadro"/>
    <w:link w:val="Cabealho"/>
    <w:uiPriority w:val="99"/>
    <w:rsid w:val="004E51DA"/>
    <w:rPr>
      <w:rFonts w:ascii="Times New Roman" w:eastAsia="SimSun" w:hAnsi="Times New Roman" w:cs="Times New Roman"/>
      <w:sz w:val="20"/>
      <w:szCs w:val="20"/>
    </w:rPr>
  </w:style>
  <w:style w:type="paragraph" w:styleId="Rodap">
    <w:name w:val="footer"/>
    <w:basedOn w:val="Normal"/>
    <w:link w:val="RodapChar"/>
    <w:uiPriority w:val="99"/>
    <w:unhideWhenUsed/>
    <w:rsid w:val="004E51DA"/>
    <w:pPr>
      <w:tabs>
        <w:tab w:val="center" w:pos="4252"/>
        <w:tab w:val="right" w:pos="8504"/>
      </w:tabs>
      <w:spacing w:after="0" w:line="240" w:lineRule="auto"/>
    </w:pPr>
  </w:style>
  <w:style w:type="character" w:customStyle="1" w:styleId="RodapChar">
    <w:name w:val="Rodapé Char"/>
    <w:basedOn w:val="Fontepargpadro"/>
    <w:link w:val="Rodap"/>
    <w:uiPriority w:val="99"/>
    <w:rsid w:val="004E5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86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C00CB-2D52-4011-BD80-A2059C875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195</Words>
  <Characters>1055</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2022-08-15T11:42:00Z</dcterms:created>
  <dcterms:modified xsi:type="dcterms:W3CDTF">2022-08-15T11:48:00Z</dcterms:modified>
</cp:coreProperties>
</file>